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 w:firstLine="0" w:left="-220"/>
        <w:jc w:val="both"/>
      </w:pPr>
      <w:r>
        <w:drawing>
          <wp:inline>
            <wp:extent cx="7461885" cy="987171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668" r="0" t="601"/>
                    <a:stretch/>
                  </pic:blipFill>
                  <pic:spPr>
                    <a:xfrm flipH="false" flipV="false" rot="0">
                      <a:ext cx="7461885" cy="987171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Autospacing="on" w:beforeAutospacing="on" w:line="276" w:lineRule="auto"/>
        <w:ind/>
        <w:jc w:val="both"/>
      </w:pPr>
      <w:bookmarkStart w:id="1" w:name="_GoBack"/>
      <w:bookmarkEnd w:id="1"/>
      <w:r>
        <w:rPr>
          <w:rFonts w:ascii="Times New Roman" w:hAnsi="Times New Roman"/>
          <w:b w:val="1"/>
        </w:rPr>
        <w:t>I</w:t>
      </w:r>
      <w:r>
        <w:rPr>
          <w:rFonts w:ascii="Times New Roman" w:hAnsi="Times New Roman"/>
          <w:b w:val="1"/>
        </w:rPr>
        <w:t>. Содержание учебного предмета, курса, учебного модуля</w:t>
      </w:r>
    </w:p>
    <w:p w14:paraId="03000000">
      <w:pPr>
        <w:spacing w:afterAutospacing="on" w:beforeAutospacing="on" w:line="276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Орфография как система правил правописания </w:t>
      </w:r>
    </w:p>
    <w:p w14:paraId="04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Русское правописание. Орфография и пунктуация как разделы русского правописания. Роль орфографии в письменном общении людей, её возможности для более точной передачи смысла речи.</w:t>
      </w:r>
    </w:p>
    <w:p w14:paraId="05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Разделы русской орфографии и обобщающее правило для каждого из них: 1) правописание морфем («пиши морфему единообразно»); 2) слитные, дефисные и раздельные написания («пиши слова отдельно друг от друга, а части слов слитно, реже – </w:t>
      </w:r>
    </w:p>
    <w:p w14:paraId="06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дефис»);  3) употребление прописных и строчных букв («пиши с прописной буквы имена собственные, с малой – нарицательные»); 4) перенос слова («переноси слова по слогам»).</w:t>
      </w:r>
    </w:p>
    <w:p w14:paraId="07000000">
      <w:pPr>
        <w:spacing w:afterAutospacing="on" w:beforeAutospacing="on" w:line="276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Правописание морфем </w:t>
      </w:r>
    </w:p>
    <w:p w14:paraId="08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Правописание корней. </w:t>
      </w:r>
      <w:r>
        <w:rPr>
          <w:rFonts w:ascii="Times New Roman" w:hAnsi="Times New Roman"/>
          <w:sz w:val="24"/>
        </w:rPr>
        <w:t>Система правил, регулирующих написание гласных и согласных корня. Роль смыслового анализа при подборе однокоренного проверочного слова.</w:t>
      </w:r>
    </w:p>
    <w:p w14:paraId="09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Правописание гласных корня: безударные проверяемые и непроверяемые; е и э в заимствованных словах.</w:t>
      </w:r>
    </w:p>
    <w:p w14:paraId="0A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Правила, нарушающие единообразие написания корня (ы и и в корне после приставок); понятие о фонетическом принципе написания.</w:t>
      </w:r>
    </w:p>
    <w:p w14:paraId="0B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Группы корней с чередованием гласных: 1) -кос-// -кас-, -лаг-// -лож-,  -бер- // -бир, -тер- // -тир-, -стел- // -стил- и др. (зависимость от глагольного суффикса а); 2) -раст- // -рос-, -скак- // -скоч- (зависимость от последующего согласного); 3) -гор- // -гар-, -твар- // -твор, -зор- // -зар-, -клан- // -клон- (зависимость от ударения); 4) корни с полногласными  и неполногласными сочетаниями оло//ла, оро//ра, ере//ре, ело//ле.</w:t>
      </w:r>
    </w:p>
    <w:p w14:paraId="0C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Обозначение на письме согласных корня: звонких и глухих, непроизносимых, удвоенных. Чередование согласных в корне и связанные с этим орфографические трудности (доска – дощатый, очки – очечник).</w:t>
      </w:r>
    </w:p>
    <w:p w14:paraId="0D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Правописание иноязычных словообразовательных элементов (лог, фил, гео, фон).</w:t>
      </w:r>
    </w:p>
    <w:p w14:paraId="0E000000">
      <w:pPr>
        <w:spacing w:afterAutospacing="on" w:beforeAutospacing="on" w:line="276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Правописание приставок. </w:t>
      </w:r>
      <w:r>
        <w:rPr>
          <w:rFonts w:ascii="Times New Roman" w:hAnsi="Times New Roman"/>
          <w:sz w:val="24"/>
        </w:rPr>
        <w:t>Деление приставок на группы, соотносимые с разными  принципами написания: 1) приставки на –з, -с – фонетический принцип; 2) все остальные приставки – морфологический принцип написания. Роль смыслового анализа слова при различении приставок пре-, при-.</w:t>
      </w:r>
    </w:p>
    <w:p w14:paraId="0F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Правописание суффиксов. </w:t>
      </w:r>
      <w:r>
        <w:rPr>
          <w:rFonts w:ascii="Times New Roman" w:hAnsi="Times New Roman"/>
          <w:sz w:val="24"/>
        </w:rPr>
        <w:t>Система правил, связанных с написанием суффиксов в словах разных частей речи. Роль морфемно-словообразовательного анализа слова при выборе правильного написания суффиксов.</w:t>
      </w:r>
    </w:p>
    <w:p w14:paraId="10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Типичные суффиксы имён существительных и их написание. Различение суффиксов -чик-, -щик- со значением лица. Суффиксы  -ек-, -ик-, -ец-, -иц- со значением уменьшительности.</w:t>
      </w:r>
    </w:p>
    <w:p w14:paraId="11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Типичные суффиксы прилагательных и их написание. Различение на письме суффиксов -ив-, -ев-, -к-, -ск-. Особенности образования сравнительной и превосходной степени прилагательных и наречий и написание суффиксов в этих формах слов.</w:t>
      </w:r>
    </w:p>
    <w:p w14:paraId="12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Типичные суффиксы глагола и их написание. Различение на письме глагольных суффиксов -ова-, -ева-, -ыва-, -ива-. Написание суффикса -е-, -и- в глаголах с приставкой обез-// обес-; -ться и –тся в глаголах.</w:t>
      </w:r>
    </w:p>
    <w:p w14:paraId="13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Образование причастий с помощью специальных суффиксов. Выбор суффикса причастия настоящего времени в зависимости от спряжения глагола. Сохранение на письме глагольного суффикса при образовании причастий прошедшего времени.</w:t>
      </w:r>
    </w:p>
    <w:p w14:paraId="14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Правописание н и нн в кратких и полных формах причастий, а также в прилагательных, образованных от существительных и глаголов.</w:t>
      </w:r>
    </w:p>
    <w:p w14:paraId="15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Правописание окончаний. </w:t>
      </w:r>
      <w:r>
        <w:rPr>
          <w:rFonts w:ascii="Times New Roman" w:hAnsi="Times New Roman"/>
          <w:sz w:val="24"/>
        </w:rPr>
        <w:t>Система правил, регулирующих правописание окончаний слов разных частей речи.</w:t>
      </w:r>
    </w:p>
    <w:p w14:paraId="16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Различение окончаний -е, -и в именах существительных. Правописание личных окончаний глаголов. Правописание падежных окончаний полных прилагательных и причастий. </w:t>
      </w:r>
    </w:p>
    <w:p w14:paraId="17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Орфографические правила, требующие различения морфем, в составе которых находится орфограмма: о и е после шипящих и ц в корне, суффиксе и окончании; правописание и, ы после ц; употребление разделительных ъ, ь.</w:t>
      </w:r>
    </w:p>
    <w:p w14:paraId="18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Правописание согласных на стыке морфем, написание сочетаний чн, щн, нч, нщ, рч, рщ, чк, нн внутри отдельной морфемы и на стыке морфем; употребление мягкого знака для обозначения мягкости согласного внутри морфемы и на стыке морфем.</w:t>
      </w:r>
    </w:p>
    <w:p w14:paraId="19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Взаимосвязь значения, морфемного строения и написание слова. Орфографический анализ морфемно-словообразовательных моделей слов.</w:t>
      </w:r>
    </w:p>
    <w:p w14:paraId="1A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Правописание ь после шипящих в словах разных частей речи.</w:t>
      </w:r>
    </w:p>
    <w:p w14:paraId="1B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Этимологическая справка как прием объяснения написания морфем.</w:t>
      </w:r>
    </w:p>
    <w:p w14:paraId="1C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Прием поморфемной записи слов.</w:t>
      </w:r>
    </w:p>
    <w:p w14:paraId="1D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Слитные, дефисные и раздельные написания </w:t>
      </w:r>
    </w:p>
    <w:p w14:paraId="1E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Система правил данного раздела правописания. Роль смыслового и грамматического анализа слова при выборе правильного написания. </w:t>
      </w:r>
    </w:p>
    <w:p w14:paraId="1F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Орфограммы связанные с различением на письме служебного слова и морфемы. Грамматико-семантический анализ при выборе слитного и раздельного написания не с разными частями речи. Различение приставки ни и слова ни (частицы, союза). </w:t>
      </w:r>
    </w:p>
    <w:p w14:paraId="20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Грамматико-орфографические отличия приставки и предлога. Слитное, дефисное и раздельное написания приставок в наречиях. Историческая справка о происхождение некоторых наречий.</w:t>
      </w:r>
    </w:p>
    <w:p w14:paraId="21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Особенности написания производных предлогов. Смысловые, грамматические и орфографические отличия союзов чтобы, также, тоже, потому, поэтому, оттого, отчего, зато, поскольку и др. от созвучных сочетаний слов.</w:t>
      </w:r>
    </w:p>
    <w:p w14:paraId="22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Образование и написание сложных слов (существительные, прилагательные, наречия). Смысловые и грамматические отличия сложных прилагательных образованных слиянием и созвучных словосочетаний (многообещающий – много обещающий).</w:t>
      </w:r>
    </w:p>
    <w:p w14:paraId="23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Употребление дефиса при написании знаменательных и служебных частей речи.</w:t>
      </w:r>
    </w:p>
    <w:p w14:paraId="24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Работа со словарем «Слитно или раздельно?».</w:t>
      </w:r>
    </w:p>
    <w:p w14:paraId="25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 xml:space="preserve">Синтаксис и пунктуация </w:t>
      </w:r>
    </w:p>
    <w:p w14:paraId="26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Смысловой отрезок как носитель информации и как единица пунктуации. Виды  смысловых отрезков: слово, словосочетание, предложение.  Синтаксическое оформление смысловых отрезков. </w:t>
      </w:r>
    </w:p>
    <w:p w14:paraId="27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Пунктуационная норма и пунктуационная ошибка. Знаки препинания и их функции: завершение, выделение, разделение. Принципы русской пунктуации. Грамматические и смысловые приметы (признаки) смысловых отрезков, требующие выделения знаками препинания. Условия выбора знаков препинания в предложении и тексте. Знаки завершения в изолированном предложении и тексте. Условия выбора знаков завершения. Опознавательные признаки смыслового отрезка, требующие применения знаков завершения.</w:t>
      </w:r>
    </w:p>
    <w:p w14:paraId="28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Виды пунктуационных правил, регулирующих выбор знаков завершения. Трудные случаи в применении пунктуационных правил, регулирующих выбор знаков препинания. Смысловые отрезки простого предложения, несущие дополнительную информацию. </w:t>
      </w:r>
    </w:p>
    <w:p w14:paraId="29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Знаки препинания, используемые для выделения смысловых отрезков, несущих дополнительную информацию. Опознавательные признаки смысловых отрезков, требующих применения знаков выделения. Условия выбора знаков выделения. Названия (виды) пунктуационных правил, регулирующих выбор знаков выделения. </w:t>
      </w:r>
    </w:p>
    <w:p w14:paraId="2A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Трудные случаи в применении пунктуационных правил, регулирующих выбор знаков препинания. Грамматико-смысловые значения, возникающие между смысловыми отрезками, разделяемыми знаками препинания. </w:t>
      </w:r>
    </w:p>
    <w:p w14:paraId="2B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Трудные случаи в применении пунктуационных правил, регулирующих выбор знаков.</w:t>
      </w:r>
    </w:p>
    <w:p w14:paraId="2C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Воспитательный потенциал  реализуется через:</w:t>
      </w:r>
    </w:p>
    <w:p w14:paraId="2D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установление доверительных отношений между педагогическим работником и его обучающимися</w:t>
      </w:r>
      <w:r>
        <w:rPr>
          <w:rFonts w:ascii="Times New Roman" w:hAnsi="Times New Roman"/>
          <w:sz w:val="24"/>
        </w:rP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14:paraId="2E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побуждение обучающихся соблюдать на уроке общепринятые нормы поведения, правила общения</w:t>
      </w:r>
      <w:r>
        <w:rPr>
          <w:rFonts w:ascii="Times New Roman" w:hAnsi="Times New Roman"/>
          <w:sz w:val="24"/>
        </w:rPr>
        <w:t xml:space="preserve"> со старшими (педагогическими работниками) и сверстниками (обучающимися), принципы учебной дисциплины и самоорганизации; </w:t>
      </w:r>
    </w:p>
    <w:p w14:paraId="2F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привлечение внимания обучающихся к ценностному аспекту изучаемых на уроках явлений</w:t>
      </w:r>
      <w:r>
        <w:rPr>
          <w:rFonts w:ascii="Times New Roman" w:hAnsi="Times New Roman"/>
          <w:sz w:val="24"/>
        </w:rPr>
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14:paraId="30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использование воспитательных возможностей содержания учебного предмета через </w:t>
      </w:r>
      <w:r>
        <w:rPr>
          <w:rFonts w:ascii="Times New Roman" w:hAnsi="Times New Roman"/>
          <w:b w:val="1"/>
          <w:sz w:val="24"/>
        </w:rPr>
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  <w:r>
        <w:rPr>
          <w:rFonts w:ascii="Times New Roman" w:hAnsi="Times New Roman"/>
          <w:sz w:val="24"/>
        </w:rPr>
        <w:t>;</w:t>
      </w:r>
    </w:p>
    <w:p w14:paraId="31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применение на уроке интерактивных форм работы с обучающимися</w:t>
      </w:r>
      <w:r>
        <w:rPr>
          <w:rFonts w:ascii="Times New Roman" w:hAnsi="Times New Roman"/>
          <w:sz w:val="24"/>
        </w:rPr>
        <w:t xml:space="preserve">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</w:p>
    <w:p w14:paraId="32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включение в урок игровых процедур</w:t>
      </w:r>
      <w:r>
        <w:rPr>
          <w:rFonts w:ascii="Times New Roman" w:hAnsi="Times New Roman"/>
          <w:sz w:val="24"/>
        </w:rPr>
        <w:t xml:space="preserve"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14:paraId="33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организация шефства мотивированных и эрудированных обучающихся над их неуспевающими одноклассниками</w:t>
      </w:r>
      <w:r>
        <w:rPr>
          <w:rFonts w:ascii="Times New Roman" w:hAnsi="Times New Roman"/>
          <w:sz w:val="24"/>
        </w:rPr>
        <w:t>, дающего обучающимся социально значимый опыт сотрудничества и взаимной помощи;</w:t>
      </w:r>
    </w:p>
    <w:p w14:paraId="34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инициирование и поддержка исследовательской деятельности обучающихся </w:t>
      </w:r>
      <w:r>
        <w:rPr>
          <w:rFonts w:ascii="Times New Roman" w:hAnsi="Times New Roman"/>
          <w:sz w:val="24"/>
        </w:rPr>
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35000000">
      <w:pPr>
        <w:ind w:firstLine="567" w:right="180"/>
        <w:rPr>
          <w:rFonts w:ascii="Times New Roman" w:hAnsi="Times New Roman"/>
        </w:rPr>
      </w:pPr>
      <w:r>
        <w:rPr>
          <w:rFonts w:ascii="Times New Roman" w:hAnsi="Times New Roman"/>
        </w:rPr>
        <w:t>II</w:t>
      </w:r>
      <w:r>
        <w:rPr>
          <w:rFonts w:ascii="Times New Roman" w:hAnsi="Times New Roman"/>
        </w:rPr>
        <w:t xml:space="preserve">. Планируемые </w:t>
      </w:r>
      <w:r>
        <w:rPr>
          <w:rFonts w:ascii="Times New Roman" w:hAnsi="Times New Roman"/>
        </w:rPr>
        <w:t>результаты  освоения</w:t>
      </w:r>
      <w:r>
        <w:rPr>
          <w:rFonts w:ascii="Times New Roman" w:hAnsi="Times New Roman"/>
        </w:rPr>
        <w:t xml:space="preserve"> учебного предмета, учебного курса (в том числе внеурочной деятельности), учебного модуля</w:t>
      </w:r>
    </w:p>
    <w:p w14:paraId="36000000">
      <w:pPr>
        <w:spacing w:afterAutospacing="on" w:beforeAutospacing="on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Личностные результаты </w:t>
      </w:r>
      <w:r>
        <w:rPr>
          <w:rFonts w:ascii="Times New Roman" w:hAnsi="Times New Roman"/>
          <w:sz w:val="24"/>
        </w:rPr>
        <w:t>освоения курса должны отражать: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37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 сформированность  мировоззрения,  соответствующего  современному  уровню  развития науки  и  общественной  практики,  основанного  на  диалоге  культур,  а  также  различных  форм общественного сознания, осознание своего места в поликультурном мире;</w:t>
      </w:r>
    </w:p>
    <w:p w14:paraId="38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)  сформированность  основ  саморазвития  и  самовоспитания  в  соответствии 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39000000">
      <w:pPr>
        <w:spacing w:afterAutospacing="on" w:beforeAutospacing="on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)  готовность и способность к образованию, в том числе самообразованию, на протяжении всей  жизни;  сознательное  отношение  к  непрерывному  образованию  как  условию  успешной профессиональной и общественной деятельности.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3A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Метапредметные результаты </w:t>
      </w:r>
      <w:r>
        <w:rPr>
          <w:rFonts w:ascii="Times New Roman" w:hAnsi="Times New Roman"/>
          <w:sz w:val="24"/>
        </w:rPr>
        <w:t>освоения курса:</w:t>
      </w:r>
    </w:p>
    <w:p w14:paraId="3B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уметь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 ресурсы  для  достижения  поставленных  целей  и  реализации  планов  деятельности; выбирать успешные стратегии в различных ситуациях;</w:t>
      </w:r>
    </w:p>
    <w:p w14:paraId="3C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уметь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3D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 владеть  навыками  познавательной,  учебно-исследовательской  и  проектной деятельности,  навыками  разрешения  проблем;  способность  и  готовность  к  самостоятельному поиску методов решения практических задач, применению различных методов познания;</w:t>
      </w:r>
    </w:p>
    <w:p w14:paraId="3E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 осуществлять  самостоятельную  информационно-познавательную деятельность,  владеть  навыками  получения  необходимой  информации  из  словарей  разных типов,  уметь  ориентироваться  в  различных  источниках  информации,  критически  оценивать  и интерпретировать информацию, получаемую из различных источников;</w:t>
      </w:r>
    </w:p>
    <w:p w14:paraId="3F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уметь использовать средства информационных и коммуникационных технологий в  решении  когнитивных,  коммуникативных  и  организационных  задач;</w:t>
      </w:r>
    </w:p>
    <w:p w14:paraId="40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 владеть  языковыми  средствами, ясно,  логично  и  точно  излагать  свою  точку зрения, использовать адекватные языковые средства;</w:t>
      </w:r>
    </w:p>
    <w:p w14:paraId="41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7) владеть навыками познавательной рефлексии: осознание совершаемых действий и мыслительных процессов,  их  результатов  и оснований, границ  своего знания и  незнания,  новых познавательных задач и средств их достижения.</w:t>
      </w:r>
    </w:p>
    <w:p w14:paraId="42000000">
      <w:pPr>
        <w:spacing w:afterAutospacing="on" w:beforeAutospacing="on" w:line="276" w:lineRule="auto"/>
        <w:ind/>
        <w:rPr>
          <w:sz w:val="24"/>
        </w:rPr>
      </w:pPr>
      <w:r>
        <w:rPr>
          <w:rFonts w:ascii="Times New Roman" w:hAnsi="Times New Roman"/>
          <w:b w:val="1"/>
          <w:sz w:val="24"/>
        </w:rPr>
        <w:t xml:space="preserve"> Предметные результаты </w:t>
      </w:r>
      <w:r>
        <w:rPr>
          <w:rFonts w:ascii="Times New Roman" w:hAnsi="Times New Roman"/>
          <w:sz w:val="24"/>
        </w:rPr>
        <w:t xml:space="preserve">освоения курса </w:t>
      </w:r>
      <w:r>
        <w:rPr>
          <w:rFonts w:ascii="Times New Roman" w:hAnsi="Times New Roman"/>
          <w:sz w:val="24"/>
        </w:rPr>
        <w:t>должны отражать:</w:t>
      </w:r>
    </w:p>
    <w:p w14:paraId="43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сформированность понятий о нормах русского литературного языка и применение знаний о них в речевой практике;</w:t>
      </w:r>
    </w:p>
    <w:p w14:paraId="44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владение навыками самоанализа и самооценки на основе наблюдений за собственной речью;</w:t>
      </w:r>
    </w:p>
    <w:p w14:paraId="45000000">
      <w:pPr>
        <w:spacing w:line="372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III</w:t>
      </w:r>
      <w:r>
        <w:rPr>
          <w:rFonts w:ascii="Times New Roman" w:hAnsi="Times New Roman"/>
          <w:b w:val="1"/>
          <w:sz w:val="24"/>
        </w:rPr>
        <w:t xml:space="preserve">.     </w:t>
      </w:r>
      <w:r>
        <w:rPr>
          <w:rFonts w:ascii="Times New Roman" w:hAnsi="Times New Roman"/>
        </w:rPr>
        <w:t>Т</w:t>
      </w:r>
      <w:r>
        <w:t>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</w:t>
      </w:r>
      <w:r>
        <w:rPr>
          <w:rFonts w:ascii="Times New Roman" w:hAnsi="Times New Roman"/>
          <w:b w:val="1"/>
        </w:rPr>
        <w:t xml:space="preserve"> </w:t>
      </w:r>
    </w:p>
    <w:p w14:paraId="46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Style w:val="Style_1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580"/>
        <w:gridCol w:w="5709"/>
        <w:gridCol w:w="1489"/>
        <w:gridCol w:w="1489"/>
      </w:tblGrid>
      <w:tr>
        <w:trPr>
          <w:trHeight w:hRule="atLeast" w:val="892"/>
        </w:trPr>
        <w:tc>
          <w:tcPr>
            <w:tcW w:type="dxa" w:w="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7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48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п/п</w:t>
            </w:r>
          </w:p>
        </w:tc>
        <w:tc>
          <w:tcPr>
            <w:tcW w:type="dxa" w:w="5709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9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разделов</w:t>
            </w:r>
          </w:p>
        </w:tc>
        <w:tc>
          <w:tcPr>
            <w:tcW w:type="dxa" w:w="1489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A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часов</w:t>
            </w:r>
          </w:p>
        </w:tc>
        <w:tc>
          <w:tcPr>
            <w:tcW w:type="dxa" w:w="1489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B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ЦОР</w:t>
            </w:r>
          </w:p>
        </w:tc>
      </w:tr>
      <w:tr>
        <w:tc>
          <w:tcPr>
            <w:tcW w:type="dxa" w:w="580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C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570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D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как система правил правописания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E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F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РЭШ</w:t>
            </w:r>
          </w:p>
        </w:tc>
      </w:tr>
      <w:tr>
        <w:tc>
          <w:tcPr>
            <w:tcW w:type="dxa" w:w="580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0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570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1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морфем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2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3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РЭШ</w:t>
            </w:r>
          </w:p>
        </w:tc>
      </w:tr>
      <w:tr>
        <w:tc>
          <w:tcPr>
            <w:tcW w:type="dxa" w:w="580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4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570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5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Слитные, дефисные и раздельные написания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6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7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РЭШ</w:t>
            </w:r>
          </w:p>
        </w:tc>
      </w:tr>
      <w:tr>
        <w:tc>
          <w:tcPr>
            <w:tcW w:type="dxa" w:w="580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8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</w:t>
            </w:r>
          </w:p>
        </w:tc>
        <w:tc>
          <w:tcPr>
            <w:tcW w:type="dxa" w:w="570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9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A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B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РЭШ</w:t>
            </w:r>
          </w:p>
        </w:tc>
      </w:tr>
      <w:tr>
        <w:tc>
          <w:tcPr>
            <w:tcW w:type="dxa" w:w="580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C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</w:t>
            </w:r>
          </w:p>
        </w:tc>
        <w:tc>
          <w:tcPr>
            <w:tcW w:type="dxa" w:w="570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D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повторений 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E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F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РЭШ</w:t>
            </w:r>
          </w:p>
        </w:tc>
      </w:tr>
      <w:tr>
        <w:tc>
          <w:tcPr>
            <w:tcW w:type="dxa" w:w="580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0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70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1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2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34 ч.</w:t>
            </w:r>
          </w:p>
        </w:tc>
        <w:tc>
          <w:tcPr>
            <w:tcW w:type="dxa" w:w="1489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3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РЭШ</w:t>
            </w:r>
          </w:p>
        </w:tc>
      </w:tr>
    </w:tbl>
    <w:p w14:paraId="64000000">
      <w:pPr>
        <w:ind/>
        <w:jc w:val="both"/>
      </w:pPr>
    </w:p>
    <w:p w14:paraId="65000000">
      <w:pPr>
        <w:ind/>
        <w:jc w:val="both"/>
      </w:pPr>
    </w:p>
    <w:p w14:paraId="66000000">
      <w:pPr>
        <w:ind/>
        <w:jc w:val="both"/>
      </w:pPr>
    </w:p>
    <w:p w14:paraId="67000000">
      <w:pPr>
        <w:ind/>
        <w:jc w:val="both"/>
      </w:pPr>
    </w:p>
    <w:p w14:paraId="68000000">
      <w:pPr>
        <w:ind/>
        <w:jc w:val="both"/>
      </w:pPr>
    </w:p>
    <w:p w14:paraId="69000000">
      <w:pPr>
        <w:ind/>
        <w:jc w:val="both"/>
      </w:pPr>
    </w:p>
    <w:p w14:paraId="6A000000">
      <w:pPr>
        <w:ind/>
        <w:jc w:val="both"/>
      </w:pPr>
    </w:p>
    <w:p w14:paraId="6B000000">
      <w:pPr>
        <w:ind/>
        <w:jc w:val="both"/>
      </w:pPr>
    </w:p>
    <w:sectPr>
      <w:pgSz w:h="16838" w:orient="portrait" w:w="11906"/>
      <w:pgMar w:bottom="1440" w:footer="720" w:gutter="0" w:header="720" w:left="1140" w:right="866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60" w:line="264" w:lineRule="auto"/>
      <w:ind/>
    </w:pPr>
    <w:rPr>
      <w:rFonts w:ascii="Calibri" w:hAnsi="Calibri"/>
      <w:sz w:val="22"/>
    </w:rPr>
  </w:style>
  <w:style w:default="1" w:styleId="Style_2_ch" w:type="character">
    <w:name w:val="Normal"/>
    <w:link w:val="Style_2"/>
    <w:rPr>
      <w:rFonts w:ascii="Calibri" w:hAnsi="Calibri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2024-09-23T06:52:14Z</dcterms:modified>
</cp:coreProperties>
</file>